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72CE9">
                <w:rPr>
                  <w:rFonts w:asciiTheme="majorHAnsi" w:hAnsiTheme="majorHAnsi"/>
                  <w:sz w:val="20"/>
                  <w:szCs w:val="20"/>
                </w:rPr>
                <w:t>NHP51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068378916" w:edGrp="everyone"/>
    <w:p w:rsidR="00AF3758" w:rsidRPr="00592A95" w:rsidRDefault="00B5612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06FF">
            <w:rPr>
              <w:rFonts w:ascii="MS Gothic" w:eastAsia="MS Gothic" w:hAnsi="MS Gothic" w:hint="eastAsia"/>
            </w:rPr>
            <w:t>☒</w:t>
          </w:r>
        </w:sdtContent>
      </w:sdt>
      <w:permEnd w:id="106837891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516172459" w:edGrp="everyone"/>
    <w:p w:rsidR="001F5E9E" w:rsidRPr="001F5E9E" w:rsidRDefault="00B5612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1617245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5612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81063567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1063567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439648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439648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5612C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0202049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02049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10198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101984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5612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9555215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552150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56941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569413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B5612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932710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9327109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83066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1830665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5612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3774273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742732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8128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481287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5612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3439041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39041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73556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735562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5612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5292841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928418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217975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2179754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B5612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001768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01768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42445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424454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B5612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111391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11391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922024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922024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0D619F" w:rsidRDefault="000D619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Annette Stacy, Chair, BSN Program</w:t>
          </w:r>
        </w:p>
        <w:p w:rsidR="000D619F" w:rsidRDefault="00B5612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0D619F" w:rsidRPr="00FB2FA0">
              <w:rPr>
                <w:rStyle w:val="Hyperlink"/>
                <w:rFonts w:asciiTheme="majorHAnsi" w:hAnsiTheme="majorHAnsi" w:cs="Arial"/>
                <w:sz w:val="20"/>
                <w:szCs w:val="20"/>
              </w:rPr>
              <w:t>astacy@astate.edu</w:t>
            </w:r>
          </w:hyperlink>
        </w:p>
        <w:p w:rsidR="006E6FEC" w:rsidRDefault="000D619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870-972-2973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0D619F" w:rsidRDefault="000D61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MATH 1043 Quantitative Reasoning as an option for the math General Education requirement.</w:t>
          </w:r>
        </w:p>
        <w:p w:rsidR="0039234E" w:rsidRDefault="003923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D619F" w:rsidRDefault="000D61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CHEM 1052 Fundamental Concepts of Chemistry II (currently named Fundamental Concepts of Organic and Biochemistry</w:t>
          </w:r>
          <w:r w:rsidR="00387652">
            <w:rPr>
              <w:rFonts w:asciiTheme="majorHAnsi" w:hAnsiTheme="majorHAnsi" w:cs="Arial"/>
              <w:sz w:val="20"/>
              <w:szCs w:val="20"/>
            </w:rPr>
            <w:t>) as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 required support course.</w:t>
          </w:r>
        </w:p>
        <w:p w:rsidR="0039234E" w:rsidRDefault="003923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E06FF" w:rsidRDefault="000D61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an additional 3 credit hours of Upper-level Nursing Elective to the Major Requirements.</w:t>
          </w:r>
        </w:p>
        <w:p w:rsidR="002E3FC9" w:rsidRDefault="00B5612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5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D61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5/1/2015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42024F" w:rsidRDefault="0042024F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2024F" w:rsidRDefault="0042024F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  <w:u w:val="single"/>
            </w:rPr>
          </w:pPr>
          <w:r w:rsidRPr="00172EE8">
            <w:rPr>
              <w:rFonts w:cs="Arial"/>
              <w:u w:val="single"/>
            </w:rPr>
            <w:t>Add MATH 1043 Quantitative Reasoning as an option for the math General Education requirement.</w:t>
          </w:r>
        </w:p>
        <w:p w:rsidR="0089499E" w:rsidRPr="00172EE8" w:rsidRDefault="0089499E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  <w:u w:val="single"/>
            </w:rPr>
          </w:pPr>
        </w:p>
        <w:p w:rsidR="0042024F" w:rsidRPr="00172EE8" w:rsidRDefault="00A06D0C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  <w:r w:rsidRPr="008F7342">
            <w:rPr>
              <w:rFonts w:cs="Arial"/>
            </w:rPr>
            <w:t xml:space="preserve">The syllabus and text book </w:t>
          </w:r>
          <w:r w:rsidR="00172EE8" w:rsidRPr="008F7342">
            <w:rPr>
              <w:rFonts w:cs="Arial"/>
            </w:rPr>
            <w:t>for MATH 1043</w:t>
          </w:r>
          <w:r w:rsidR="000E06FF" w:rsidRPr="008F7342">
            <w:rPr>
              <w:rFonts w:cs="Arial"/>
            </w:rPr>
            <w:t xml:space="preserve"> were</w:t>
          </w:r>
          <w:r w:rsidRPr="008F7342">
            <w:rPr>
              <w:rFonts w:cs="Arial"/>
            </w:rPr>
            <w:t xml:space="preserve"> revi</w:t>
          </w:r>
          <w:r w:rsidR="000E06FF" w:rsidRPr="008F7342">
            <w:rPr>
              <w:rFonts w:cs="Arial"/>
            </w:rPr>
            <w:t>ewed by the BSN faculty</w:t>
          </w:r>
          <w:r w:rsidR="005A4A40" w:rsidRPr="008F7342">
            <w:rPr>
              <w:rFonts w:cs="Arial"/>
            </w:rPr>
            <w:t xml:space="preserve"> and </w:t>
          </w:r>
          <w:r w:rsidR="008F7342" w:rsidRPr="008F7342">
            <w:rPr>
              <w:rFonts w:cs="Arial"/>
            </w:rPr>
            <w:t xml:space="preserve">the course </w:t>
          </w:r>
          <w:r w:rsidR="00F574D2" w:rsidRPr="008F7342">
            <w:rPr>
              <w:rFonts w:cs="Arial"/>
            </w:rPr>
            <w:t>was</w:t>
          </w:r>
          <w:r w:rsidRPr="008F7342">
            <w:rPr>
              <w:rFonts w:cs="Arial"/>
            </w:rPr>
            <w:t xml:space="preserve"> approv</w:t>
          </w:r>
          <w:r w:rsidR="008F7342" w:rsidRPr="008F7342">
            <w:rPr>
              <w:rFonts w:cs="Arial"/>
            </w:rPr>
            <w:t>ed as an option for the math General Education requirement</w:t>
          </w:r>
          <w:r w:rsidR="000E06FF" w:rsidRPr="008F7342">
            <w:rPr>
              <w:rFonts w:cs="Arial"/>
            </w:rPr>
            <w:t xml:space="preserve"> </w:t>
          </w:r>
          <w:r w:rsidR="00172EE8" w:rsidRPr="008F7342">
            <w:rPr>
              <w:rFonts w:cs="Arial"/>
            </w:rPr>
            <w:t xml:space="preserve">on </w:t>
          </w:r>
          <w:r w:rsidR="000E06FF" w:rsidRPr="008F7342">
            <w:rPr>
              <w:rFonts w:cs="Arial"/>
            </w:rPr>
            <w:t>10/27/14. A summary</w:t>
          </w:r>
          <w:r w:rsidR="0039234E" w:rsidRPr="008F7342">
            <w:rPr>
              <w:rFonts w:cs="Arial"/>
            </w:rPr>
            <w:t xml:space="preserve"> of the r</w:t>
          </w:r>
          <w:r w:rsidRPr="008F7342">
            <w:rPr>
              <w:rFonts w:cs="Arial"/>
            </w:rPr>
            <w:t>a</w:t>
          </w:r>
          <w:r w:rsidR="008F7342" w:rsidRPr="008F7342">
            <w:rPr>
              <w:rFonts w:cs="Arial"/>
            </w:rPr>
            <w:t xml:space="preserve">tionale for allowing this math </w:t>
          </w:r>
          <w:r w:rsidRPr="008F7342">
            <w:rPr>
              <w:rFonts w:cs="Arial"/>
            </w:rPr>
            <w:t>option</w:t>
          </w:r>
          <w:r w:rsidR="005A4A40" w:rsidRPr="008F7342">
            <w:rPr>
              <w:rFonts w:cs="Arial"/>
            </w:rPr>
            <w:t>:  the course includes strong</w:t>
          </w:r>
          <w:r w:rsidR="0039234E" w:rsidRPr="008F7342">
            <w:rPr>
              <w:rFonts w:cs="Arial"/>
            </w:rPr>
            <w:t xml:space="preserve"> critical thinking and application exercises, problem solving</w:t>
          </w:r>
          <w:r w:rsidR="00172EE8" w:rsidRPr="008F7342">
            <w:rPr>
              <w:rFonts w:cs="Arial"/>
            </w:rPr>
            <w:t xml:space="preserve"> exercises</w:t>
          </w:r>
          <w:r w:rsidR="0039234E" w:rsidRPr="008F7342">
            <w:rPr>
              <w:rFonts w:cs="Arial"/>
            </w:rPr>
            <w:t>, practical math problems, budgeting time, statistical reasoning, temperature problems, metric conversions and medication dosages.</w:t>
          </w:r>
          <w:r w:rsidR="00172EE8" w:rsidRPr="008F7342">
            <w:rPr>
              <w:rFonts w:cs="Arial"/>
            </w:rPr>
            <w:t xml:space="preserve">  T</w:t>
          </w:r>
          <w:r w:rsidR="0039234E" w:rsidRPr="008F7342">
            <w:rPr>
              <w:rFonts w:cs="Arial"/>
            </w:rPr>
            <w:t>hese concepts</w:t>
          </w:r>
          <w:r w:rsidR="005A4A40" w:rsidRPr="008F7342">
            <w:rPr>
              <w:rFonts w:cs="Arial"/>
            </w:rPr>
            <w:t xml:space="preserve"> are directly applicable</w:t>
          </w:r>
          <w:r w:rsidR="0039234E" w:rsidRPr="008F7342">
            <w:rPr>
              <w:rFonts w:cs="Arial"/>
            </w:rPr>
            <w:t xml:space="preserve"> for </w:t>
          </w:r>
          <w:r w:rsidR="00172EE8" w:rsidRPr="00172EE8">
            <w:rPr>
              <w:rFonts w:cs="Arial"/>
            </w:rPr>
            <w:t xml:space="preserve">the </w:t>
          </w:r>
          <w:r w:rsidR="0039234E" w:rsidRPr="00172EE8">
            <w:rPr>
              <w:rFonts w:cs="Arial"/>
            </w:rPr>
            <w:t>BSN prepared registered</w:t>
          </w:r>
          <w:r w:rsidR="00172EE8" w:rsidRPr="00172EE8">
            <w:rPr>
              <w:rFonts w:cs="Arial"/>
            </w:rPr>
            <w:t xml:space="preserve"> nurse</w:t>
          </w:r>
          <w:r w:rsidR="0039234E" w:rsidRPr="00172EE8">
            <w:rPr>
              <w:rFonts w:cs="Arial"/>
            </w:rPr>
            <w:t>.</w:t>
          </w:r>
        </w:p>
        <w:p w:rsidR="0042024F" w:rsidRPr="00172EE8" w:rsidRDefault="0042024F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</w:p>
        <w:p w:rsidR="0042024F" w:rsidRPr="00172EE8" w:rsidRDefault="0042024F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</w:p>
        <w:p w:rsidR="0042024F" w:rsidRPr="00172EE8" w:rsidRDefault="0042024F" w:rsidP="0042024F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  <w:u w:val="single"/>
            </w:rPr>
          </w:pPr>
          <w:r w:rsidRPr="00172EE8">
            <w:rPr>
              <w:rFonts w:cs="Arial"/>
              <w:u w:val="single"/>
            </w:rPr>
            <w:t>Remove CHEM 1052 Fundamental Concepts of Chemistry II (currently named Fundamental Concepts of Organic and Biochemistry) as a required support course.</w:t>
          </w:r>
        </w:p>
        <w:p w:rsidR="0042024F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r w:rsidRPr="00172EE8">
            <w:rPr>
              <w:rFonts w:asciiTheme="minorHAnsi" w:hAnsiTheme="minorHAnsi" w:cs="Arial"/>
              <w:sz w:val="22"/>
              <w:szCs w:val="22"/>
            </w:rPr>
            <w:t xml:space="preserve">Based upon a </w:t>
          </w:r>
          <w:r w:rsidR="0042024F" w:rsidRPr="00172EE8">
            <w:rPr>
              <w:rFonts w:asciiTheme="minorHAnsi" w:hAnsiTheme="minorHAnsi" w:cs="Arial"/>
              <w:sz w:val="22"/>
              <w:szCs w:val="22"/>
            </w:rPr>
            <w:t xml:space="preserve">2014 </w:t>
          </w:r>
          <w:r w:rsidRPr="00172EE8">
            <w:rPr>
              <w:rFonts w:asciiTheme="minorHAnsi" w:hAnsiTheme="minorHAnsi" w:cs="Arial"/>
              <w:sz w:val="22"/>
              <w:szCs w:val="22"/>
            </w:rPr>
            <w:t xml:space="preserve">survey of </w:t>
          </w:r>
          <w:r w:rsidR="0042024F" w:rsidRPr="00172EE8">
            <w:rPr>
              <w:rFonts w:asciiTheme="minorHAnsi" w:hAnsiTheme="minorHAnsi" w:cs="Arial"/>
              <w:sz w:val="22"/>
              <w:szCs w:val="22"/>
            </w:rPr>
            <w:t xml:space="preserve">the other BSN </w:t>
          </w:r>
          <w:r w:rsidRPr="00172EE8">
            <w:rPr>
              <w:rFonts w:asciiTheme="minorHAnsi" w:hAnsiTheme="minorHAnsi" w:cs="Arial"/>
              <w:sz w:val="22"/>
              <w:szCs w:val="22"/>
            </w:rPr>
            <w:t xml:space="preserve">programs in the state of Arkansas, </w:t>
          </w:r>
          <w:r w:rsidR="0042024F" w:rsidRPr="00172EE8">
            <w:rPr>
              <w:rFonts w:asciiTheme="minorHAnsi" w:hAnsiTheme="minorHAnsi" w:cs="Arial"/>
              <w:sz w:val="22"/>
              <w:szCs w:val="22"/>
            </w:rPr>
            <w:t xml:space="preserve">8 of the 9 programs </w:t>
          </w:r>
          <w:r w:rsidRPr="00172EE8">
            <w:rPr>
              <w:rFonts w:asciiTheme="minorHAnsi" w:hAnsiTheme="minorHAnsi" w:cs="Arial"/>
              <w:sz w:val="22"/>
              <w:szCs w:val="22"/>
            </w:rPr>
            <w:t>require only one foundation chemistry course.  T</w:t>
          </w: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he reduction of overt science courses in </w:t>
          </w:r>
          <w:r w:rsidR="0042024F"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the ASU RN to BSN </w:t>
          </w: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nursing program is reasonable due the integration of science content </w:t>
          </w:r>
          <w:r w:rsidR="0042024F"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already </w:t>
          </w: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into nursing subjects (ex., fluids and el</w:t>
          </w:r>
          <w:r w:rsidR="0042024F"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ectrolytes, acid/base imbalance and </w:t>
          </w: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pharmacology</w:t>
          </w:r>
          <w:r w:rsidR="00172EE8">
            <w:rPr>
              <w:rFonts w:asciiTheme="minorHAnsi" w:hAnsiTheme="minorHAnsi"/>
              <w:color w:val="000000"/>
              <w:sz w:val="22"/>
              <w:szCs w:val="22"/>
            </w:rPr>
            <w:t>)</w:t>
          </w:r>
          <w:r w:rsidR="0042024F"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.  </w:t>
          </w:r>
          <w:r w:rsidR="000E06FF" w:rsidRPr="00172EE8">
            <w:rPr>
              <w:rFonts w:asciiTheme="minorHAnsi" w:hAnsiTheme="minorHAnsi"/>
              <w:color w:val="000000"/>
              <w:sz w:val="22"/>
              <w:szCs w:val="22"/>
            </w:rPr>
            <w:t>BSN faculty voted to remove CHEM 1052 as a required support course on 11/5/14.</w:t>
          </w:r>
        </w:p>
        <w:p w:rsidR="000E06FF" w:rsidRPr="00172EE8" w:rsidRDefault="000E06FF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</w:p>
        <w:p w:rsidR="0042024F" w:rsidRPr="00172EE8" w:rsidRDefault="0042024F" w:rsidP="0042024F">
          <w:pPr>
            <w:jc w:val="center"/>
            <w:rPr>
              <w:b/>
            </w:rPr>
          </w:pPr>
          <w:r w:rsidRPr="00172EE8">
            <w:rPr>
              <w:b/>
            </w:rPr>
            <w:t>Chemistry Requirements of BSN Programs in Arkansas (Source: Nursing Administrators of Nursing Education Programs, 2014)</w:t>
          </w: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1021"/>
            <w:gridCol w:w="1196"/>
            <w:gridCol w:w="1040"/>
            <w:gridCol w:w="1163"/>
            <w:gridCol w:w="1228"/>
            <w:gridCol w:w="1038"/>
            <w:gridCol w:w="967"/>
            <w:gridCol w:w="1075"/>
            <w:gridCol w:w="1071"/>
            <w:gridCol w:w="1001"/>
          </w:tblGrid>
          <w:tr w:rsidR="0042024F" w:rsidRPr="00172EE8" w:rsidTr="0042024F">
            <w:tc>
              <w:tcPr>
                <w:tcW w:w="102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Course</w:t>
                </w:r>
              </w:p>
            </w:tc>
            <w:tc>
              <w:tcPr>
                <w:tcW w:w="1196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UCA</w:t>
                </w:r>
              </w:p>
            </w:tc>
            <w:tc>
              <w:tcPr>
                <w:tcW w:w="1040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ATU</w:t>
                </w:r>
              </w:p>
            </w:tc>
            <w:tc>
              <w:tcPr>
                <w:tcW w:w="1163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Harding</w:t>
                </w:r>
              </w:p>
            </w:tc>
            <w:tc>
              <w:tcPr>
                <w:tcW w:w="1228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HSU</w:t>
                </w:r>
              </w:p>
            </w:tc>
            <w:tc>
              <w:tcPr>
                <w:tcW w:w="1038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SAU</w:t>
                </w:r>
              </w:p>
            </w:tc>
            <w:tc>
              <w:tcPr>
                <w:tcW w:w="967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U of A</w:t>
                </w:r>
              </w:p>
            </w:tc>
            <w:tc>
              <w:tcPr>
                <w:tcW w:w="1075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UAFS</w:t>
                </w:r>
              </w:p>
            </w:tc>
            <w:tc>
              <w:tcPr>
                <w:tcW w:w="107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UAM</w:t>
                </w:r>
              </w:p>
            </w:tc>
            <w:tc>
              <w:tcPr>
                <w:tcW w:w="100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UAMS</w:t>
                </w:r>
              </w:p>
            </w:tc>
          </w:tr>
          <w:tr w:rsidR="0042024F" w:rsidRPr="00172EE8" w:rsidTr="0042024F">
            <w:tc>
              <w:tcPr>
                <w:tcW w:w="102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proofErr w:type="spellStart"/>
                <w:r w:rsidRPr="00172EE8">
                  <w:rPr>
                    <w:b/>
                  </w:rPr>
                  <w:t>Chem</w:t>
                </w:r>
                <w:proofErr w:type="spellEnd"/>
                <w:r w:rsidRPr="00172EE8">
                  <w:rPr>
                    <w:b/>
                  </w:rPr>
                  <w:t xml:space="preserve"> 1</w:t>
                </w:r>
              </w:p>
            </w:tc>
            <w:tc>
              <w:tcPr>
                <w:tcW w:w="1196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040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163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228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038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967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075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07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  <w:tc>
              <w:tcPr>
                <w:tcW w:w="100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</w:t>
                </w:r>
              </w:p>
            </w:tc>
          </w:tr>
          <w:tr w:rsidR="0042024F" w:rsidRPr="00172EE8" w:rsidTr="0042024F">
            <w:tc>
              <w:tcPr>
                <w:tcW w:w="102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proofErr w:type="spellStart"/>
                <w:r w:rsidRPr="00172EE8">
                  <w:rPr>
                    <w:b/>
                  </w:rPr>
                  <w:t>Chem</w:t>
                </w:r>
                <w:proofErr w:type="spellEnd"/>
                <w:r w:rsidRPr="00172EE8">
                  <w:rPr>
                    <w:b/>
                  </w:rPr>
                  <w:t xml:space="preserve"> 2</w:t>
                </w:r>
              </w:p>
            </w:tc>
            <w:tc>
              <w:tcPr>
                <w:tcW w:w="1196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 (organic)</w:t>
                </w:r>
              </w:p>
            </w:tc>
            <w:tc>
              <w:tcPr>
                <w:tcW w:w="1040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163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228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  <w:r w:rsidRPr="00172EE8">
                  <w:rPr>
                    <w:b/>
                  </w:rPr>
                  <w:t>4 (0ptional)</w:t>
                </w:r>
              </w:p>
            </w:tc>
            <w:tc>
              <w:tcPr>
                <w:tcW w:w="1038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967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075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07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001" w:type="dxa"/>
              </w:tcPr>
              <w:p w:rsidR="0042024F" w:rsidRPr="00172EE8" w:rsidRDefault="0042024F" w:rsidP="00090C44">
                <w:pPr>
                  <w:jc w:val="center"/>
                  <w:rPr>
                    <w:b/>
                  </w:rPr>
                </w:pPr>
              </w:p>
            </w:tc>
          </w:tr>
        </w:tbl>
        <w:p w:rsidR="0042024F" w:rsidRPr="00172EE8" w:rsidRDefault="0042024F" w:rsidP="0042024F">
          <w:pPr>
            <w:jc w:val="center"/>
            <w:rPr>
              <w:b/>
            </w:rPr>
          </w:pPr>
        </w:p>
        <w:p w:rsidR="0042024F" w:rsidRPr="00172EE8" w:rsidRDefault="0042024F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</w:p>
        <w:p w:rsidR="009B5F7C" w:rsidRPr="008F7342" w:rsidRDefault="0042024F" w:rsidP="0039234E">
          <w:pPr>
            <w:tabs>
              <w:tab w:val="left" w:pos="360"/>
              <w:tab w:val="left" w:pos="720"/>
            </w:tabs>
            <w:spacing w:after="0" w:line="240" w:lineRule="auto"/>
          </w:pPr>
          <w:r w:rsidRPr="008F7342">
            <w:rPr>
              <w:rFonts w:cs="Arial"/>
              <w:u w:val="single"/>
            </w:rPr>
            <w:t>Add an additional 3 credit hours of Upper-level Nursing Elective to the Major Requirements.</w:t>
          </w:r>
        </w:p>
        <w:p w:rsidR="009B5F7C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r w:rsidRPr="008F7342">
            <w:rPr>
              <w:rFonts w:asciiTheme="minorHAnsi" w:hAnsiTheme="minorHAnsi"/>
              <w:sz w:val="22"/>
              <w:szCs w:val="22"/>
            </w:rPr>
            <w:t>BSN graduates</w:t>
          </w:r>
          <w:r w:rsidR="005A4A40" w:rsidRPr="008F7342">
            <w:rPr>
              <w:rFonts w:asciiTheme="minorHAnsi" w:hAnsiTheme="minorHAnsi"/>
              <w:sz w:val="22"/>
              <w:szCs w:val="22"/>
            </w:rPr>
            <w:t xml:space="preserve"> add a dimension to</w:t>
          </w:r>
          <w:r w:rsidRPr="008F7342">
            <w:rPr>
              <w:rFonts w:asciiTheme="minorHAnsi" w:hAnsiTheme="minorHAnsi"/>
              <w:sz w:val="22"/>
              <w:szCs w:val="22"/>
            </w:rPr>
            <w:t xml:space="preserve"> quality of nursing care due to their training in </w:t>
          </w:r>
          <w:r w:rsidRPr="008F7342">
            <w:rPr>
              <w:rFonts w:asciiTheme="minorHAnsi" w:hAnsiTheme="minorHAnsi"/>
              <w:i/>
              <w:sz w:val="22"/>
              <w:szCs w:val="22"/>
            </w:rPr>
            <w:t>upper level nursing material</w:t>
          </w:r>
          <w:r w:rsidRPr="008F7342">
            <w:rPr>
              <w:rFonts w:asciiTheme="minorHAnsi" w:hAnsiTheme="minorHAnsi"/>
              <w:sz w:val="22"/>
              <w:szCs w:val="22"/>
            </w:rPr>
            <w:t xml:space="preserve"> (</w:t>
          </w:r>
          <w:proofErr w:type="spellStart"/>
          <w:r w:rsidRPr="008F7342">
            <w:rPr>
              <w:rFonts w:asciiTheme="minorHAnsi" w:hAnsiTheme="minorHAnsi"/>
              <w:sz w:val="22"/>
              <w:szCs w:val="22"/>
            </w:rPr>
            <w:t>DeJesus</w:t>
          </w:r>
          <w:proofErr w:type="spellEnd"/>
          <w:r w:rsidRPr="008F7342">
            <w:rPr>
              <w:rFonts w:asciiTheme="minorHAnsi" w:hAnsiTheme="minorHAnsi"/>
              <w:sz w:val="22"/>
              <w:szCs w:val="22"/>
            </w:rPr>
            <w:t xml:space="preserve">, 2010). </w:t>
          </w:r>
          <w:r w:rsidRPr="008F7342">
            <w:rPr>
              <w:rFonts w:asciiTheme="minorHAnsi" w:hAnsiTheme="minorHAnsi"/>
              <w:i/>
              <w:sz w:val="22"/>
              <w:szCs w:val="22"/>
            </w:rPr>
            <w:t>Upper level nursing courses</w:t>
          </w:r>
          <w:r w:rsidRPr="008F7342">
            <w:rPr>
              <w:rFonts w:asciiTheme="minorHAnsi" w:hAnsiTheme="minorHAnsi"/>
              <w:sz w:val="22"/>
              <w:szCs w:val="22"/>
            </w:rPr>
            <w:t xml:space="preserve"> add to the nurse’s</w:t>
          </w:r>
          <w:r w:rsidR="005A4A40" w:rsidRPr="008F7342">
            <w:rPr>
              <w:rFonts w:asciiTheme="minorHAnsi" w:hAnsiTheme="minorHAnsi"/>
              <w:sz w:val="22"/>
              <w:szCs w:val="22"/>
            </w:rPr>
            <w:t xml:space="preserve"> breadth and depth of</w:t>
          </w:r>
          <w:r w:rsidRPr="008F7342">
            <w:rPr>
              <w:rFonts w:asciiTheme="minorHAnsi" w:hAnsiTheme="minorHAnsi"/>
              <w:sz w:val="22"/>
              <w:szCs w:val="22"/>
            </w:rPr>
            <w:t xml:space="preserve"> knowledge and thereby improve patient outcomes (</w:t>
          </w:r>
          <w:proofErr w:type="spellStart"/>
          <w:r w:rsidRPr="008F7342">
            <w:rPr>
              <w:rFonts w:asciiTheme="minorHAnsi" w:hAnsiTheme="minorHAnsi"/>
              <w:sz w:val="22"/>
              <w:szCs w:val="22"/>
            </w:rPr>
            <w:t>Yakusheva</w:t>
          </w:r>
          <w:proofErr w:type="spellEnd"/>
          <w:r w:rsidRPr="008F7342">
            <w:rPr>
              <w:rFonts w:asciiTheme="minorHAnsi" w:hAnsiTheme="minorHAnsi"/>
              <w:sz w:val="22"/>
              <w:szCs w:val="22"/>
            </w:rPr>
            <w:t xml:space="preserve">, </w:t>
          </w:r>
          <w:proofErr w:type="spellStart"/>
          <w:r w:rsidRPr="008F7342">
            <w:rPr>
              <w:rFonts w:asciiTheme="minorHAnsi" w:hAnsiTheme="minorHAnsi"/>
              <w:sz w:val="22"/>
              <w:szCs w:val="22"/>
            </w:rPr>
            <w:t>Lindrooth</w:t>
          </w:r>
          <w:proofErr w:type="spellEnd"/>
          <w:r w:rsidRPr="008F7342">
            <w:rPr>
              <w:rFonts w:asciiTheme="minorHAnsi" w:hAnsiTheme="minorHAnsi"/>
              <w:sz w:val="22"/>
              <w:szCs w:val="22"/>
            </w:rPr>
            <w:t>, &amp; Weiss, 2014) and reduce re-admissions ((Sterne, Grossman</w:t>
          </w: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, </w:t>
          </w:r>
          <w:proofErr w:type="spell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Migliardi</w:t>
          </w:r>
          <w:proofErr w:type="spell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, &amp; Swallow, 2014).</w:t>
          </w:r>
          <w:r w:rsid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 We currently have 3 Upper Level N</w:t>
          </w:r>
          <w:r w:rsidR="0042024F" w:rsidRPr="00172EE8">
            <w:rPr>
              <w:rFonts w:asciiTheme="minorHAnsi" w:hAnsiTheme="minorHAnsi"/>
              <w:color w:val="000000"/>
              <w:sz w:val="22"/>
              <w:szCs w:val="22"/>
            </w:rPr>
            <w:t>ursing electives from which to choose:  NRS 3353 Aging and the Older Adult, NRS 3333 Women’s Health and NRS 4223 Forensic Nursing.</w:t>
          </w:r>
          <w:r w:rsidR="00E02891"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 </w:t>
          </w:r>
          <w:r w:rsidR="000E06FF" w:rsidRPr="00172EE8">
            <w:rPr>
              <w:rFonts w:asciiTheme="minorHAnsi" w:hAnsiTheme="minorHAnsi"/>
              <w:color w:val="000000"/>
              <w:sz w:val="22"/>
              <w:szCs w:val="22"/>
            </w:rPr>
            <w:t>BSN faculty voted to add an additional 3 hour Upper Level Nursing Elective as an RN to BSN Major Requirement on 11/5/14.</w:t>
          </w:r>
        </w:p>
        <w:p w:rsidR="009B5F7C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 </w:t>
          </w:r>
        </w:p>
        <w:p w:rsidR="00172EE8" w:rsidRPr="00172EE8" w:rsidRDefault="00172EE8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</w:p>
        <w:p w:rsidR="009B5F7C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References</w:t>
          </w:r>
          <w:r w:rsidR="00172EE8">
            <w:rPr>
              <w:rFonts w:asciiTheme="minorHAnsi" w:hAnsiTheme="minorHAnsi"/>
              <w:color w:val="000000"/>
              <w:sz w:val="22"/>
              <w:szCs w:val="22"/>
            </w:rPr>
            <w:t>:</w:t>
          </w:r>
        </w:p>
        <w:p w:rsidR="009B5F7C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proofErr w:type="spell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DeJesus</w:t>
          </w:r>
          <w:proofErr w:type="spell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, </w:t>
          </w:r>
          <w:proofErr w:type="spell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Fanya</w:t>
          </w:r>
          <w:proofErr w:type="spell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. </w:t>
          </w:r>
          <w:proofErr w:type="gram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“The Impact of Higher Nursing Education on Patient Outcomes.”</w:t>
          </w:r>
          <w:proofErr w:type="gram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</w:t>
          </w:r>
          <w:proofErr w:type="gram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7th Annual Florida Magnet Research Conference [Conference].</w:t>
          </w:r>
          <w:proofErr w:type="gram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Naples, Florida. 11-13 Feb. 2010.</w:t>
          </w:r>
        </w:p>
        <w:p w:rsidR="009B5F7C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proofErr w:type="gram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Sterne, P. P., Grossman, S., </w:t>
          </w:r>
          <w:proofErr w:type="spell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Migliardi</w:t>
          </w:r>
          <w:proofErr w:type="spell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, J. S., &amp; Swallow, A. D. (2014).</w:t>
          </w:r>
          <w:proofErr w:type="gram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Nurses’ Knowledge of Heart Failure: Implications for Decreasing 30-Day Re-Admission Rates. MEDSURG Nursing, 23(5), 321-329.</w:t>
          </w:r>
        </w:p>
        <w:p w:rsidR="009B5F7C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proofErr w:type="spellStart"/>
          <w:proofErr w:type="gram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Yakusheva</w:t>
          </w:r>
          <w:proofErr w:type="spell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, O., </w:t>
          </w:r>
          <w:proofErr w:type="spell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Lindrooth</w:t>
          </w:r>
          <w:proofErr w:type="spell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, R., &amp; Weiss, M. (2014).</w:t>
          </w:r>
          <w:proofErr w:type="gram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</w:t>
          </w:r>
          <w:proofErr w:type="gramStart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>Nurse Value-Added and Patient Outcomes in Acute Care.</w:t>
          </w:r>
          <w:proofErr w:type="gramEnd"/>
          <w:r w:rsidRPr="00172EE8">
            <w:rPr>
              <w:rFonts w:asciiTheme="minorHAnsi" w:hAnsiTheme="minorHAnsi"/>
              <w:color w:val="000000"/>
              <w:sz w:val="22"/>
              <w:szCs w:val="22"/>
            </w:rPr>
            <w:t xml:space="preserve"> Health Services Research, 49(6), 1767-1786. doi:10.1111/1475-6773.12236</w:t>
          </w:r>
        </w:p>
        <w:p w:rsidR="009B5F7C" w:rsidRPr="00172EE8" w:rsidRDefault="009B5F7C" w:rsidP="009B5F7C">
          <w:pPr>
            <w:pStyle w:val="xmsonormal"/>
            <w:spacing w:before="0" w:beforeAutospacing="0" w:after="0" w:afterAutospacing="0"/>
            <w:rPr>
              <w:rFonts w:asciiTheme="minorHAnsi" w:hAnsiTheme="minorHAnsi"/>
              <w:color w:val="000000"/>
              <w:sz w:val="22"/>
              <w:szCs w:val="22"/>
            </w:rPr>
          </w:pPr>
          <w:r w:rsidRPr="00172EE8">
            <w:rPr>
              <w:rFonts w:asciiTheme="minorHAnsi" w:hAnsiTheme="minorHAnsi"/>
              <w:color w:val="1F497D"/>
              <w:sz w:val="22"/>
              <w:szCs w:val="22"/>
            </w:rPr>
            <w:t> </w:t>
          </w:r>
        </w:p>
        <w:p w:rsidR="002E3FC9" w:rsidRDefault="00B5612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02891" w:rsidRDefault="00E02891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02891" w:rsidRDefault="00E02891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02891" w:rsidRDefault="00E02891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02891" w:rsidRDefault="00E02891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87652" w:rsidRDefault="0038765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3251B5" w:rsidRPr="003251B5" w:rsidRDefault="003251B5" w:rsidP="003251B5">
          <w:pPr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341</w:t>
          </w:r>
        </w:p>
        <w:p w:rsidR="003251B5" w:rsidRPr="003251B5" w:rsidRDefault="003251B5" w:rsidP="003251B5">
          <w:pPr>
            <w:spacing w:after="0" w:line="240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 w:rsidRPr="003251B5">
            <w:rPr>
              <w:rFonts w:ascii="Times New Roman" w:eastAsia="Times New Roman" w:hAnsi="Times New Roman" w:cs="Times New Roman"/>
              <w:sz w:val="23"/>
              <w:szCs w:val="23"/>
            </w:rPr>
            <w:t>The bulletin can be accessed at http://www.astate.edu/a/registrar/students/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40"/>
              <w:szCs w:val="40"/>
            </w:rPr>
          </w:pPr>
          <w:r w:rsidRPr="003251B5">
            <w:rPr>
              <w:rFonts w:ascii="Arial" w:eastAsia="Times New Roman" w:hAnsi="Arial" w:cs="Arial"/>
              <w:sz w:val="40"/>
              <w:szCs w:val="40"/>
            </w:rPr>
            <w:t>RN-to-BSN Option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Bachelor of Science in Nursing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University Requirements:</w:t>
          </w:r>
        </w:p>
        <w:p w:rsid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See University General Requirements for Baccalaureate degrees (p. 41)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General Education Requirements: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See General Education Curriculum for Baccalaureate degrees (p. 84)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Students with this major must take the following:</w:t>
          </w:r>
        </w:p>
        <w:p w:rsidR="003251B5" w:rsidRPr="000D619F" w:rsidRDefault="003251B5" w:rsidP="003251B5">
          <w:pPr>
            <w:spacing w:after="0" w:line="240" w:lineRule="auto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MATH 1023, College Algebra or MATH course that requires MATH 1023 as a prerequisite</w:t>
          </w:r>
          <w:r w:rsidR="00387652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="000D619F">
            <w:rPr>
              <w:rFonts w:ascii="Arial" w:eastAsia="Times New Roman" w:hAnsi="Arial" w:cs="Arial"/>
              <w:color w:val="FF0000"/>
              <w:sz w:val="24"/>
              <w:szCs w:val="24"/>
            </w:rPr>
            <w:t>or MATH 1043 Quantitative Reasoning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CHEM 1043 AND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CHEM 1041, Fundamentals of Chemistry I and Laboratory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BIOL 2103 AND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BIOL 2101, Microbiology for Nurses and Laboratory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PSY 2013, Introduction to Psychology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SOC 2213, Introduction to Sociology</w:t>
          </w:r>
        </w:p>
        <w:p w:rsid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>(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35</w:t>
          </w:r>
          <w:r>
            <w:rPr>
              <w:rFonts w:ascii="Arial" w:eastAsia="Times New Roman" w:hAnsi="Arial" w:cs="Arial"/>
              <w:sz w:val="15"/>
              <w:szCs w:val="15"/>
            </w:rPr>
            <w:t>)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Major Requirements: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HP 3413, Cultural Competence in the Health Professions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NS 2203, Basic Human Nutrition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2793, Health Assessment and Exam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3713, Evidence Based Practice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3723, Clinical Pathophysiology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4713, Chronic Illness Nursing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4723, High Acuity Nursing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4733, Nursing Management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4743, Community Nursing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4763, Professional Nursing Role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87652" w:rsidRDefault="003251B5" w:rsidP="003251B5">
          <w:pPr>
            <w:spacing w:after="0" w:line="240" w:lineRule="auto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  <w:r w:rsidRP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NRS Upper-level Nursing elective </w:t>
          </w:r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3</w:t>
          </w:r>
          <w:r w:rsidR="00387652"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 </w:t>
          </w:r>
          <w:r w:rsidR="00387652" w:rsidRP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 </w:t>
          </w:r>
          <w:r w:rsid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  6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NRSP 4793, RN-BSN Capstone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:rsidR="003251B5" w:rsidRPr="00387652" w:rsidRDefault="003251B5" w:rsidP="003251B5">
          <w:pPr>
            <w:spacing w:after="0" w:line="240" w:lineRule="auto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  <w:r w:rsidRP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(Sub-total </w:t>
          </w:r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36)</w:t>
          </w:r>
          <w:r w:rsid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   39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Hours by Articulation: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2314, Concepts of Nursing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4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NRS 2334, Health Promotion and Intro to Acute Care Nursing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4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 3315, Acute Care Nursing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I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5</w:t>
          </w:r>
          <w:proofErr w:type="gramEnd"/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 3343, Clinical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Pharmacology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5</w:t>
          </w:r>
          <w:proofErr w:type="gramEnd"/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 3345, Acute Care Nursing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II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5</w:t>
          </w:r>
          <w:proofErr w:type="gramEnd"/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NRSP 1422, Foundations of Nursing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Practice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2</w:t>
          </w:r>
          <w:proofErr w:type="gramEnd"/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NRSP 2343, Nursing Care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II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  <w:proofErr w:type="gramEnd"/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NRSP 3325, Nursing Care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III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</w:t>
          </w:r>
          <w:proofErr w:type="gramEnd"/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NRSP 3355, Nursing Care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IV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5</w:t>
          </w:r>
          <w:proofErr w:type="gramEnd"/>
        </w:p>
        <w:p w:rsid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>(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Sub-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total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36</w:t>
          </w:r>
          <w:proofErr w:type="gramEnd"/>
          <w:r>
            <w:rPr>
              <w:rFonts w:ascii="Arial" w:eastAsia="Times New Roman" w:hAnsi="Arial" w:cs="Arial"/>
              <w:sz w:val="15"/>
              <w:szCs w:val="15"/>
            </w:rPr>
            <w:t>)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251B5">
            <w:rPr>
              <w:rFonts w:ascii="Arial" w:eastAsia="Times New Roman" w:hAnsi="Arial" w:cs="Arial"/>
              <w:sz w:val="20"/>
              <w:szCs w:val="20"/>
            </w:rPr>
            <w:t>Required Support Courses: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BIO 2203 AND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2201, Human Anatomy and Physiology I and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Laboratory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4</w:t>
          </w:r>
          <w:proofErr w:type="gramEnd"/>
        </w:p>
        <w:p w:rsidR="003251B5" w:rsidRP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251B5">
            <w:rPr>
              <w:rFonts w:ascii="Arial" w:eastAsia="Times New Roman" w:hAnsi="Arial" w:cs="Arial"/>
              <w:sz w:val="15"/>
              <w:szCs w:val="15"/>
            </w:rPr>
            <w:t>BIO 2223 AND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 xml:space="preserve">2221, Human Anatomy and Physiology II and </w:t>
          </w:r>
          <w:proofErr w:type="gramStart"/>
          <w:r w:rsidRPr="003251B5">
            <w:rPr>
              <w:rFonts w:ascii="Arial" w:eastAsia="Times New Roman" w:hAnsi="Arial" w:cs="Arial"/>
              <w:sz w:val="15"/>
              <w:szCs w:val="15"/>
            </w:rPr>
            <w:t>Laboratory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</w:t>
          </w:r>
          <w:r w:rsidRPr="003251B5">
            <w:rPr>
              <w:rFonts w:ascii="Arial" w:eastAsia="Times New Roman" w:hAnsi="Arial" w:cs="Arial"/>
              <w:sz w:val="15"/>
              <w:szCs w:val="15"/>
            </w:rPr>
            <w:t>4</w:t>
          </w:r>
          <w:proofErr w:type="gramEnd"/>
        </w:p>
        <w:p w:rsidR="003251B5" w:rsidRPr="00387652" w:rsidRDefault="003251B5" w:rsidP="003251B5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</w:pPr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CHEM 1052, Fundamentals of </w:t>
          </w:r>
          <w:proofErr w:type="spellStart"/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Chem</w:t>
          </w:r>
          <w:proofErr w:type="spellEnd"/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 </w:t>
          </w:r>
          <w:proofErr w:type="gramStart"/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II  2</w:t>
          </w:r>
          <w:proofErr w:type="gramEnd"/>
        </w:p>
        <w:p w:rsid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>Statistics (3 hours)   3</w:t>
          </w:r>
        </w:p>
        <w:p w:rsidR="003251B5" w:rsidRPr="00387652" w:rsidRDefault="003251B5" w:rsidP="003251B5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</w:pPr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(Subtotal 13)</w:t>
          </w:r>
          <w:r w:rsidR="00387652" w:rsidRP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  Subtotal 11</w:t>
          </w:r>
        </w:p>
        <w:p w:rsidR="003251B5" w:rsidRDefault="003251B5" w:rsidP="003251B5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:rsidR="004E5007" w:rsidRDefault="003251B5" w:rsidP="003251B5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 xml:space="preserve">TOTAL REQUIRED HOURS:  </w:t>
          </w:r>
          <w:proofErr w:type="gramStart"/>
          <w:r w:rsidRP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120</w:t>
          </w:r>
          <w:r w:rsidR="00387652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 </w:t>
          </w:r>
          <w:r w:rsidR="00387652" w:rsidRPr="00387652">
            <w:rPr>
              <w:rFonts w:ascii="Arial" w:eastAsia="Times New Roman" w:hAnsi="Arial" w:cs="Arial"/>
              <w:color w:val="FF0000"/>
              <w:sz w:val="24"/>
              <w:szCs w:val="24"/>
            </w:rPr>
            <w:t xml:space="preserve"> 121</w:t>
          </w:r>
          <w:proofErr w:type="gramEnd"/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3A" w:rsidRDefault="001C2E3A" w:rsidP="00AF3758">
      <w:pPr>
        <w:spacing w:after="0" w:line="240" w:lineRule="auto"/>
      </w:pPr>
      <w:r>
        <w:separator/>
      </w:r>
    </w:p>
  </w:endnote>
  <w:endnote w:type="continuationSeparator" w:id="0">
    <w:p w:rsidR="001C2E3A" w:rsidRDefault="001C2E3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3A" w:rsidRDefault="001C2E3A" w:rsidP="00AF3758">
      <w:pPr>
        <w:spacing w:after="0" w:line="240" w:lineRule="auto"/>
      </w:pPr>
      <w:r>
        <w:separator/>
      </w:r>
    </w:p>
  </w:footnote>
  <w:footnote w:type="continuationSeparator" w:id="0">
    <w:p w:rsidR="001C2E3A" w:rsidRDefault="001C2E3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5118"/>
    <w:rsid w:val="000A7C2E"/>
    <w:rsid w:val="000D06F1"/>
    <w:rsid w:val="000D619F"/>
    <w:rsid w:val="000E06FF"/>
    <w:rsid w:val="00103070"/>
    <w:rsid w:val="00103CC5"/>
    <w:rsid w:val="0014025C"/>
    <w:rsid w:val="00151451"/>
    <w:rsid w:val="00152424"/>
    <w:rsid w:val="00172EE8"/>
    <w:rsid w:val="0018269B"/>
    <w:rsid w:val="00185D67"/>
    <w:rsid w:val="001A5DD5"/>
    <w:rsid w:val="001B3CBD"/>
    <w:rsid w:val="001C2E3A"/>
    <w:rsid w:val="001F5E9E"/>
    <w:rsid w:val="00212A76"/>
    <w:rsid w:val="0022350B"/>
    <w:rsid w:val="002315B0"/>
    <w:rsid w:val="00254447"/>
    <w:rsid w:val="00261ACE"/>
    <w:rsid w:val="00265C17"/>
    <w:rsid w:val="002776C2"/>
    <w:rsid w:val="002A4495"/>
    <w:rsid w:val="002E3FC9"/>
    <w:rsid w:val="003251B5"/>
    <w:rsid w:val="003328F3"/>
    <w:rsid w:val="00346F5C"/>
    <w:rsid w:val="00362414"/>
    <w:rsid w:val="00374D72"/>
    <w:rsid w:val="00384538"/>
    <w:rsid w:val="00387652"/>
    <w:rsid w:val="0039234E"/>
    <w:rsid w:val="0039532B"/>
    <w:rsid w:val="003A05F4"/>
    <w:rsid w:val="003A19E4"/>
    <w:rsid w:val="003C0ED1"/>
    <w:rsid w:val="00400712"/>
    <w:rsid w:val="004072F1"/>
    <w:rsid w:val="0042024F"/>
    <w:rsid w:val="00473252"/>
    <w:rsid w:val="00487771"/>
    <w:rsid w:val="00492F7C"/>
    <w:rsid w:val="0049644B"/>
    <w:rsid w:val="004A7706"/>
    <w:rsid w:val="004E5007"/>
    <w:rsid w:val="004F3C87"/>
    <w:rsid w:val="00504BCC"/>
    <w:rsid w:val="00515205"/>
    <w:rsid w:val="00526B81"/>
    <w:rsid w:val="00584C22"/>
    <w:rsid w:val="00592A95"/>
    <w:rsid w:val="005A4A40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7634D"/>
    <w:rsid w:val="0089499E"/>
    <w:rsid w:val="008A795D"/>
    <w:rsid w:val="008C703B"/>
    <w:rsid w:val="008E6C1C"/>
    <w:rsid w:val="008F7342"/>
    <w:rsid w:val="00995206"/>
    <w:rsid w:val="009A529F"/>
    <w:rsid w:val="009B5F7C"/>
    <w:rsid w:val="009E1AA5"/>
    <w:rsid w:val="00A01035"/>
    <w:rsid w:val="00A0329C"/>
    <w:rsid w:val="00A06D0C"/>
    <w:rsid w:val="00A11AB6"/>
    <w:rsid w:val="00A16BB1"/>
    <w:rsid w:val="00A34100"/>
    <w:rsid w:val="00A5089E"/>
    <w:rsid w:val="00A56D36"/>
    <w:rsid w:val="00A80033"/>
    <w:rsid w:val="00AB5523"/>
    <w:rsid w:val="00AF20FF"/>
    <w:rsid w:val="00AF3758"/>
    <w:rsid w:val="00AF3C6A"/>
    <w:rsid w:val="00B038EB"/>
    <w:rsid w:val="00B1628A"/>
    <w:rsid w:val="00B35368"/>
    <w:rsid w:val="00BD2A0D"/>
    <w:rsid w:val="00BE069E"/>
    <w:rsid w:val="00C12475"/>
    <w:rsid w:val="00C12816"/>
    <w:rsid w:val="00C132F9"/>
    <w:rsid w:val="00C23CC7"/>
    <w:rsid w:val="00C334FF"/>
    <w:rsid w:val="00C41FC7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2891"/>
    <w:rsid w:val="00E45868"/>
    <w:rsid w:val="00E72CE9"/>
    <w:rsid w:val="00EB4FF5"/>
    <w:rsid w:val="00EC6970"/>
    <w:rsid w:val="00EC78A4"/>
    <w:rsid w:val="00EE55A2"/>
    <w:rsid w:val="00EF2A44"/>
    <w:rsid w:val="00F574D2"/>
    <w:rsid w:val="00F645B5"/>
    <w:rsid w:val="00F75657"/>
    <w:rsid w:val="00F87993"/>
    <w:rsid w:val="00FB00D4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B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c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35B73"/>
    <w:rsid w:val="00444715"/>
    <w:rsid w:val="0049056E"/>
    <w:rsid w:val="004E1A75"/>
    <w:rsid w:val="00587536"/>
    <w:rsid w:val="005D5D2F"/>
    <w:rsid w:val="00623293"/>
    <w:rsid w:val="00636142"/>
    <w:rsid w:val="006C0858"/>
    <w:rsid w:val="007C429E"/>
    <w:rsid w:val="007E395B"/>
    <w:rsid w:val="0088172E"/>
    <w:rsid w:val="00941D5C"/>
    <w:rsid w:val="009C0E11"/>
    <w:rsid w:val="00AC3009"/>
    <w:rsid w:val="00AC6F3A"/>
    <w:rsid w:val="00AD5D56"/>
    <w:rsid w:val="00B2559E"/>
    <w:rsid w:val="00B46AFF"/>
    <w:rsid w:val="00BA2926"/>
    <w:rsid w:val="00BC108B"/>
    <w:rsid w:val="00C16165"/>
    <w:rsid w:val="00C35680"/>
    <w:rsid w:val="00CD4EF8"/>
    <w:rsid w:val="00D10C89"/>
    <w:rsid w:val="00F918C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2015-01-28T20:12:00Z</cp:lastPrinted>
  <dcterms:created xsi:type="dcterms:W3CDTF">2015-01-29T15:00:00Z</dcterms:created>
  <dcterms:modified xsi:type="dcterms:W3CDTF">2015-01-29T15:00:00Z</dcterms:modified>
</cp:coreProperties>
</file>